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Solicitud de Vivienda Transitoria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0" cy="5715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Nos alegra que esté interesado/a en solicitar el Programa de Asistencia de Vivienda Transitoria del Family Crisis Center (FCC). La mision de este programa es: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para ayudar a sobrevivientes de violencia domestica, agresión sexual y acoso a lograr estabilidad economica y alcanzar sus metas personales. Nos esforzamos por cumplir esta misión brindando apoyo práctico y emocional además de asistencia para vivienda.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Programa de Vivienda Transitoria del FCC ofrece asistencia de vivienda por hasta 24 meses en viviendas apropiadas/disponibles dentro de las comunidades circundantes. FCC no proporciona apoyo en la oficina las 24 horas para los sobrevivientes que acceden a la asistencia de vivienda y su personal trabaja entre el horario de  8:00 a.m. a 4:30pm y viernes de 8:00 a.m. a 2:00 p.m. (Se anima a las personas que utilizan un asistente de cuidado personal (PCA) a que soliciten el programa y no serán excluidas de los servicios por esta razón).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Aquí se describen los criterios de elegibilidad para la Vivienda Transitoria y se ofrece información básica sobre el programa.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Esta solicitud se utiliza para determinar si usted es elegible y si este programa puede ofrecerle el apoyo y la asistencia que desea.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preguntas en esta solicitud se incluyen únicamente como una forma de establecer si este programa es adecuado para sus necesidades y situación.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Usted tiene el derecho de no responder a cualquier pregunta que considere innecesaria para determinar elegibilidad.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completa esta solicitud y devuélvela a la persona que se la entregó ( defensora del refugio, personal de Vivienda Transitoria). Una vez que recibamos su solicitud, la revisaremos y nos pondremos en contacto con usted dentro de 3 días hábiles. Si usted es elegible , programamos una reunión para hablar sobre los siguientes pasos del proceso. Esta reunión puede llevarse a cabo en cualquier lugar público, donde ambos nos sintamos seguros (restaurante, biblioteca, oficina de FCC, refugio) y que ofrezca suficiente privacidad para nuestra conversación.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Gracias por su interés. ¡Esperamos tener noticias suyas pronto!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Criterios de Elegibilidad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determinación de admisión en el programa de Vivienda Transitoria se hará caso por caso, considerando los siguientes criterios mínimos y pautas.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solicitante debe ser: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Un/a sobreviviente de violencia domestica, agresion sexual, violencia de pareja, y o acoso.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Actualmente sin hogar debido a violencia domestica, agresión sexual, violencia de pareja y o acoso.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6" w:lineRule="auto"/>
        <w:ind w:left="36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necesidad de vivienda o estar en peligro en su vivienda actual debido a violencia domestica, acoso o agresión sexual, 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Tener al menos 18 anos o ser menor legalmente emancipado.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2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Información sobre Vivienda Transitoria</w:t>
        <w:tab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Asistencia de Vivienda del FCC puede proporcionar: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Asistencia financiera para el alquiler, depósitos de seguridad, servicios públicos y otros costos relacionados con la vivienda por un mínimo de 6 meses.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Defensoría y apoyo emocional, incluyendo consejería y gestión de casos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Asistencia para encontrar y mantener vivienda permanente.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Planificación de seguridad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Asistencia laboral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Ayuda con transporte y muebles para el hogar.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Referencias, recursos y servicios comunitarios.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Servicios de seguimiento por un mínimo de 3 meses y un máximo de 1 año, al salir del programa de vivienda transitoria.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Servicios Voluntarios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Como participante del Programa de Asistencia de Vivienda Transitoria del FCC, se le anima 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Reunirse regularmente con el/la defensor/a de vivienda transitoria.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Desarrollar y revisar un plan de seguridad con la ayuda del/la defensor/a de vivienda transitoria.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al/la defensor/a de vivienda transitoria si hay servicios que le interesan y que no están ofreciendo por el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567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Solicitud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de hoy: _________________________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Nombre: 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Método preferido de contacto: (esta será la forma en que se le informará sobre el estado de su solicitud):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Teléfono: 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Correo electrónico: __________________________________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¿Si le contactamos por teléfono es seguro dejar un mensaje?  </w:t>
      </w:r>
      <w:r w:rsidDel="00000000" w:rsidR="00000000" w:rsidRPr="00000000">
        <w:rPr>
          <w:sz w:val="22"/>
          <w:szCs w:val="22"/>
          <w:rtl w:val="0"/>
        </w:rPr>
        <w:t xml:space="preserve">☐ 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sz w:val="22"/>
          <w:szCs w:val="22"/>
          <w:rtl w:val="0"/>
        </w:rPr>
        <w:t xml:space="preserve">☐  No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no, ¿cuál sería el mejor día y hora para llamar?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¿Hay instrucciones especiales para enviar mensajes por teléfono o correo electrónico (por ejemplo, palabras que no se deben usar, horarios en los que no se deben dejar mensajes)? 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¿Dónde escuchó sobre nuestro Programa de Vivienda Transitoria? 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Antecedentes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Tiene más de 18 años de edad o es un menor legalmente emancipado?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Género identificado (como se identifica): 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Pronombres utilizados: _________________________________________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¿Cuál es su idioma preferido? __________________________________________________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Puede entender ingles?(verbal y/o escrito)?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proporcione el género, edad y cualquier necesidad o adaptación específica para todas las personas que viven con usted mientras accede a la asistencia de vivienda transitoria. Incluye todos los dependientes relevantes, incluso aquellos de los que actualmente no tenga custodia.  (Nota : El financiamiento de este Programa de Vivienda Transitoria requiere que proporcionamos asistencia de vivienda solo a sobrevivientes de violencia doméstica, sexual o en la violencia de pareja o acoso y sus dependientes.)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¿Tiene un animal de compañía o de servicio?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¿Tiene otros animales por los que esté preocupado/a y que puedan necesitar vivienda temporal?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respondió sí, describa la especie y cualquier otra característica relevante de cada animal.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Hay alguna adaptación que podamos ayudarle a proporcionar para asegurar su participación en este programa? Por ejemplo, accesibilidad para silla de ruedas, TTY, letra grande o Braille, animales de servicios, etc. Puede omitir esta pregunta o incluir sólo la información que considere relevante para su participación en Vivienda Transitoria.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Situación Actual de Vivienda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Actualmente está sin hogar como resultado de violencia doméstica y/o sexual, violencia de pareja, o acoso?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¿Actualmente está en un lugar seguro mientras se determina su participación en Vivienda Transitoria?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respondió no, ¿ le gustaría que alguien le contacte sobre opciones de refugio de emergencia seguro?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Está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dispuesto/a 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mudarse a otra comunidad?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respondió si, ¿hay áreas en las que absolutamente no puede o no quiere vivir? </w:t>
      </w:r>
      <w:r w:rsidDel="00000000" w:rsidR="00000000" w:rsidRPr="00000000">
        <w:rPr>
          <w:rtl w:val="0"/>
        </w:rPr>
        <w:tab/>
        <w:tab/>
        <w:tab/>
        <w:t xml:space="preserve">__________________________________________________________________________________________________________________________________________________________________________________________________________________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proporcione una breve descripcion de sus necesidades de vivienda (tipo de vivienda, duracion anticipada de la asistencia, etc)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Seguridad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indíquenos si desea que le ayudemos creando un plan de seguridad mientras se revisa su solicitud. Esto es simplemente para conocer mejor cómo podemos ayudarle.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 Hay algo más que le gustaría compartir con nosotros sobre sus preocupaciones inmediatas de seguridad?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Apoyos y Servicios Adicionales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describa el tipo de asistencia o apoyo que le gustaria recibir del programa de Vivienda Transitoria.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Otros 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favor describa cualquier pregunta o inquietud que tenga sobre el programa de Vivienda Transitoria.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Recursos Comunitarios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no es aceptado/a en el programa de asistencia de Vivienda Transitoria, aun podemos proporcionarle información y referencias a una variedad de recursos y servicios comunitarios. Por favor describa cualquier servicio o apoyo sobre el que le gustaría recibir información (por ejemplo, programas de asistencia laboral, asistencia pública, WIC, salud mental, despensas de alimentos, actividades juveniles, asistencia para servicios públicos etc.)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Tenga en cuenta que esta es una solicitud y no constituye una aceptación en el programa de vivienda transitoria. Si usted es elegible, se programará una reunión de seguimiento y se podrá solicitar información adicional. ¡Gracias!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******************************************************************************</w:t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Office Use Only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Accepted into Transitional Housing?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Yes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If yes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date applicant was notified: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accepted/ move-in: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If not accepted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date applicant was notified: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Reason for denial: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Was applicant provided information about the appeal process?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Yes    </w:t>
      </w:r>
      <w:r w:rsidDel="00000000" w:rsidR="00000000" w:rsidRPr="00000000">
        <w:rPr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  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referrals/assistance given?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footerReference r:id="rId7" w:type="default"/>
      <w:pgSz w:h="15840" w:w="12240" w:orient="portrait"/>
      <w:pgMar w:bottom="1296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72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Created for adaptation by the National Network to End Domestic Violence in partnership with the Office on Violence Against Women.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Revised October 2017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5080</wp:posOffset>
          </wp:positionV>
          <wp:extent cx="361950" cy="52387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950" cy="5238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0x01010046A1D1FFDD06FA49ACA611309D9CAD59</vt:lpwstr>
  </property>
</Properties>
</file>